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D" w:rsidRPr="00BE4459" w:rsidRDefault="00F348B2" w:rsidP="00BE4459">
      <w:pPr>
        <w:spacing w:after="240" w:line="276" w:lineRule="auto"/>
        <w:jc w:val="center"/>
        <w:rPr>
          <w:rFonts w:ascii="Calibri" w:eastAsiaTheme="minorEastAsia" w:hAnsi="Calibri" w:cs="Calibri"/>
          <w:b/>
          <w:sz w:val="30"/>
          <w:szCs w:val="30"/>
          <w:lang w:eastAsia="ko-KR"/>
        </w:rPr>
      </w:pPr>
      <w:r>
        <w:rPr>
          <w:rFonts w:ascii="Calibri" w:eastAsiaTheme="minorEastAsia" w:hAnsi="Calibri" w:cs="Calibri" w:hint="eastAsia"/>
          <w:b/>
          <w:sz w:val="30"/>
          <w:szCs w:val="30"/>
          <w:lang w:eastAsia="ko-KR"/>
        </w:rPr>
        <w:t>Implementation of Remote Videoconference Hearing</w:t>
      </w:r>
    </w:p>
    <w:p w:rsidR="00BE4459" w:rsidRPr="00BE4459" w:rsidRDefault="00BE4459" w:rsidP="00BE4459">
      <w:pPr>
        <w:spacing w:after="240" w:line="276" w:lineRule="auto"/>
        <w:rPr>
          <w:rFonts w:ascii="Calibri" w:eastAsiaTheme="minorEastAsia" w:hAnsi="Calibri" w:cs="Calibri"/>
          <w:lang w:eastAsia="ko-KR"/>
        </w:rPr>
      </w:pPr>
    </w:p>
    <w:tbl>
      <w:tblPr>
        <w:tblStyle w:val="a6"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24"/>
      </w:tblGrid>
      <w:tr w:rsidR="00EA1D5E" w:rsidTr="00744D01">
        <w:trPr>
          <w:jc w:val="center"/>
        </w:trPr>
        <w:tc>
          <w:tcPr>
            <w:tcW w:w="9224" w:type="dxa"/>
          </w:tcPr>
          <w:p w:rsidR="004850F2" w:rsidRDefault="004850F2" w:rsidP="00EA1D5E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>The First Remote Videoconference Hearing</w:t>
            </w:r>
          </w:p>
          <w:p w:rsidR="00EA1D5E" w:rsidRPr="00EA1D5E" w:rsidRDefault="00930033" w:rsidP="00EA1D5E">
            <w:pPr>
              <w:spacing w:after="240" w:line="276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>b</w:t>
            </w:r>
            <w:r w:rsidR="004850F2"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 xml:space="preserve">etween Seoul </w:t>
            </w:r>
            <w:r w:rsidR="003758FF"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 xml:space="preserve">Central District Court </w:t>
            </w:r>
            <w:r w:rsidR="004850F2"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 xml:space="preserve">and </w:t>
            </w:r>
            <w:proofErr w:type="spellStart"/>
            <w:r w:rsidR="004850F2"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>Jeju</w:t>
            </w:r>
            <w:proofErr w:type="spellEnd"/>
            <w:r w:rsidR="004850F2"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3758FF">
              <w:rPr>
                <w:rFonts w:ascii="Calibri" w:eastAsiaTheme="minorEastAsia" w:hAnsi="Calibri" w:cs="Calibri" w:hint="eastAsia"/>
                <w:b/>
                <w:sz w:val="28"/>
                <w:szCs w:val="28"/>
                <w:lang w:eastAsia="ko-KR"/>
              </w:rPr>
              <w:t>District Court</w:t>
            </w:r>
          </w:p>
          <w:p w:rsidR="003758FF" w:rsidRDefault="003758FF" w:rsidP="003758FF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The revised Civil Procedure Act allows implementation of videoconference (VC) hearing of trials from September 30, 2016, enabling witnesses and assessors to provide testimony without </w:t>
            </w:r>
            <w:r w:rsidR="009521A1">
              <w:rPr>
                <w:rFonts w:ascii="Calibri" w:eastAsiaTheme="minorEastAsia" w:hAnsi="Calibri" w:cs="Calibri" w:hint="eastAsia"/>
                <w:lang w:eastAsia="ko-KR"/>
              </w:rPr>
              <w:t>making appeara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nce </w:t>
            </w:r>
            <w:r w:rsidR="009521A1">
              <w:rPr>
                <w:rFonts w:ascii="Calibri" w:eastAsiaTheme="minorEastAsia" w:hAnsi="Calibri" w:cs="Calibri" w:hint="eastAsia"/>
                <w:lang w:eastAsia="ko-KR"/>
              </w:rPr>
              <w:t>to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the </w:t>
            </w:r>
            <w:r>
              <w:rPr>
                <w:rFonts w:ascii="Calibri" w:eastAsiaTheme="minorEastAsia" w:hAnsi="Calibri" w:cs="Calibri"/>
                <w:lang w:eastAsia="ko-KR"/>
              </w:rPr>
              <w:t>courtroom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>.</w:t>
            </w:r>
          </w:p>
          <w:p w:rsidR="003758FF" w:rsidRDefault="003758FF" w:rsidP="003758FF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The VC hearing can be efficient for witnesses or assessors who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>have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difficulties in making appearance to the courtroom due to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long 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geographical distance or transportation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>complexities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, or who are under 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 xml:space="preserve">difficult situation to face the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litigation 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 xml:space="preserve">party in person.  However, parties to the trial (plaintiff and defendant) must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still 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>be present at the courtroom.</w:t>
            </w:r>
          </w:p>
          <w:p w:rsidR="00705EAF" w:rsidRDefault="007C7E0B" w:rsidP="003758FF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>W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>itness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>es who wish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 xml:space="preserve"> to provide testimony via</w:t>
            </w:r>
            <w:r w:rsidR="00930033">
              <w:rPr>
                <w:rFonts w:ascii="Calibri" w:eastAsiaTheme="minorEastAsia" w:hAnsi="Calibri" w:cs="Calibri" w:hint="eastAsia"/>
                <w:lang w:eastAsia="ko-KR"/>
              </w:rPr>
              <w:t xml:space="preserve"> the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 VC may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 xml:space="preserve"> go to the VC Hearing Room in the nearest court from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>his/her</w:t>
            </w:r>
            <w:r w:rsidR="00705EAF">
              <w:rPr>
                <w:rFonts w:ascii="Calibri" w:eastAsiaTheme="minorEastAsia" w:hAnsi="Calibri" w:cs="Calibri" w:hint="eastAsia"/>
                <w:lang w:eastAsia="ko-KR"/>
              </w:rPr>
              <w:t xml:space="preserve"> place of residence. 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Assessors are allowed to use videoconference equipment with internet connection at the place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 of his/her office or residence, as well as using the VC Hearing Room of a court.</w:t>
            </w:r>
          </w:p>
          <w:p w:rsidR="007C7E0B" w:rsidRPr="00930033" w:rsidRDefault="003A08C5" w:rsidP="00930033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>The information communication network between the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 trial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courtroom and VC Hearing Room 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of another court 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>or between the courtroom and assessors</w:t>
            </w:r>
            <w:r>
              <w:rPr>
                <w:rFonts w:ascii="Calibri" w:eastAsiaTheme="minorEastAsia" w:hAnsi="Calibri" w:cs="Calibri"/>
                <w:lang w:eastAsia="ko-KR"/>
              </w:rPr>
              <w:t>’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offices allows the trial panel to look at the faces of witness and assessor, and the witness and assessor to watch the trial panel and parties </w:t>
            </w:r>
            <w:r w:rsidR="00930033" w:rsidRPr="00930033">
              <w:rPr>
                <w:rFonts w:ascii="Calibri" w:eastAsiaTheme="minorEastAsia" w:hAnsi="Calibri" w:cs="Calibri" w:hint="eastAsia"/>
                <w:lang w:eastAsia="ko-KR"/>
              </w:rPr>
              <w:t>on</w:t>
            </w:r>
            <w:r w:rsidRPr="00930033">
              <w:rPr>
                <w:rFonts w:ascii="Calibri" w:eastAsiaTheme="minorEastAsia" w:hAnsi="Calibri" w:cs="Calibri" w:hint="eastAsia"/>
                <w:lang w:eastAsia="ko-KR"/>
              </w:rPr>
              <w:t xml:space="preserve"> the VC screen during the proceeding.</w:t>
            </w:r>
          </w:p>
          <w:p w:rsidR="003A08C5" w:rsidRPr="00930033" w:rsidRDefault="003A08C5" w:rsidP="00930033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>Following the revision of the Act, first VC hearing took place on November 16, 2016 between Seoul Central District Court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 - where the trial wa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>s conducted</w:t>
            </w:r>
            <w:r w:rsidR="00F8047F">
              <w:rPr>
                <w:rFonts w:ascii="Calibri" w:eastAsiaTheme="minorEastAsia" w:hAnsi="Calibri" w:cs="Calibri" w:hint="eastAsia"/>
                <w:lang w:eastAsia="ko-KR"/>
              </w:rPr>
              <w:t xml:space="preserve"> -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and </w:t>
            </w:r>
            <w:proofErr w:type="spellStart"/>
            <w:r>
              <w:rPr>
                <w:rFonts w:ascii="Calibri" w:eastAsiaTheme="minorEastAsia" w:hAnsi="Calibri" w:cs="Calibri" w:hint="eastAsia"/>
                <w:lang w:eastAsia="ko-KR"/>
              </w:rPr>
              <w:t>Jeju</w:t>
            </w:r>
            <w:proofErr w:type="spellEnd"/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District Court</w:t>
            </w:r>
            <w:r>
              <w:rPr>
                <w:rFonts w:ascii="Calibri" w:eastAsiaTheme="minorEastAsia" w:hAnsi="Calibri" w:cs="Calibri"/>
                <w:lang w:eastAsia="ko-KR"/>
              </w:rPr>
              <w:t>’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>s VC Hearing Room.</w:t>
            </w:r>
          </w:p>
          <w:p w:rsidR="003F28AB" w:rsidRDefault="00930033" w:rsidP="003758FF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>The VC hearing is an exemplary case of effective us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>ing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the information communication technology (ICT) to overcome the geographical inconvenience of witness living in </w:t>
            </w:r>
            <w:proofErr w:type="spellStart"/>
            <w:r>
              <w:rPr>
                <w:rFonts w:ascii="Calibri" w:eastAsiaTheme="minorEastAsia" w:hAnsi="Calibri" w:cs="Calibri" w:hint="eastAsia"/>
                <w:lang w:eastAsia="ko-KR"/>
              </w:rPr>
              <w:t>Jeju</w:t>
            </w:r>
            <w:proofErr w:type="spellEnd"/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Island to appear in the courtroom in Seoul.</w:t>
            </w:r>
          </w:p>
          <w:p w:rsidR="003758FF" w:rsidRPr="00EA1D5E" w:rsidRDefault="00930033" w:rsidP="003758FF">
            <w:pPr>
              <w:pStyle w:val="a3"/>
              <w:numPr>
                <w:ilvl w:val="0"/>
                <w:numId w:val="1"/>
              </w:numPr>
              <w:spacing w:after="160"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The high-performance VC hearing system enabled: (1) 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a 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>realistic presence of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 xml:space="preserve"> the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witness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 through instant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 xml:space="preserve"> 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>two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>-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way communication, creating 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>an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 ambience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 as if the 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hearing took place in 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the same 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courtroom; (2) 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 xml:space="preserve">the trial panel 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 xml:space="preserve">to check the facial expressions on 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 xml:space="preserve">the </w:t>
            </w:r>
            <w:r w:rsidR="005E09C0">
              <w:rPr>
                <w:rFonts w:ascii="Calibri" w:eastAsiaTheme="minorEastAsia" w:hAnsi="Calibri" w:cs="Calibri" w:hint="eastAsia"/>
                <w:lang w:eastAsia="ko-KR"/>
              </w:rPr>
              <w:t>witness with high-definition video transmission; and (3) to check the authenticity of documents shared through the record viewer on e-Court system</w:t>
            </w:r>
            <w:r w:rsidR="005E09C0">
              <w:rPr>
                <w:rFonts w:ascii="Calibri" w:eastAsiaTheme="minorEastAsia" w:hAnsi="Calibri" w:cs="Calibri"/>
                <w:lang w:eastAsia="ko-KR"/>
              </w:rPr>
              <w:t>.</w:t>
            </w:r>
          </w:p>
          <w:p w:rsidR="00EF4410" w:rsidRPr="00EA1D5E" w:rsidRDefault="005E09C0" w:rsidP="0030382E">
            <w:pPr>
              <w:pStyle w:val="a3"/>
              <w:numPr>
                <w:ilvl w:val="0"/>
                <w:numId w:val="1"/>
              </w:numPr>
              <w:spacing w:line="276" w:lineRule="auto"/>
              <w:ind w:left="567" w:hanging="403"/>
              <w:contextualSpacing w:val="0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lang w:eastAsia="ko-KR"/>
              </w:rPr>
              <w:t xml:space="preserve">The Korean courts plans to promote the use of videoconference hearing to reduce </w:t>
            </w:r>
            <w:r>
              <w:rPr>
                <w:rFonts w:ascii="Calibri" w:eastAsiaTheme="minorEastAsia" w:hAnsi="Calibri" w:cs="Calibri" w:hint="eastAsia"/>
                <w:lang w:eastAsia="ko-KR"/>
              </w:rPr>
              <w:lastRenderedPageBreak/>
              <w:t xml:space="preserve">socioeconomic cost for witnesses living in remote locations to appear in courtrooms and </w:t>
            </w:r>
            <w:r w:rsidR="0030382E">
              <w:rPr>
                <w:rFonts w:ascii="Calibri" w:eastAsiaTheme="minorEastAsia" w:hAnsi="Calibri" w:cs="Calibri" w:hint="eastAsia"/>
                <w:lang w:eastAsia="ko-KR"/>
              </w:rPr>
              <w:t xml:space="preserve">to facilitate </w:t>
            </w:r>
            <w:r w:rsidR="005422F4">
              <w:rPr>
                <w:rFonts w:ascii="Calibri" w:eastAsiaTheme="minorEastAsia" w:hAnsi="Calibri" w:cs="Calibri" w:hint="eastAsia"/>
                <w:lang w:eastAsia="ko-KR"/>
              </w:rPr>
              <w:t xml:space="preserve">obtaining </w:t>
            </w:r>
            <w:r w:rsidR="0030382E">
              <w:rPr>
                <w:rFonts w:ascii="Calibri" w:eastAsiaTheme="minorEastAsia" w:hAnsi="Calibri" w:cs="Calibri" w:hint="eastAsia"/>
                <w:lang w:eastAsia="ko-KR"/>
              </w:rPr>
              <w:t>oral statements from professionals such as medical doctors and architects who are too busy to appear in courtrooms and preferred providing written statements.</w:t>
            </w:r>
          </w:p>
        </w:tc>
      </w:tr>
    </w:tbl>
    <w:p w:rsidR="00EA1D5E" w:rsidRDefault="00EA1D5E" w:rsidP="00BE4459">
      <w:pPr>
        <w:spacing w:after="240" w:line="276" w:lineRule="auto"/>
        <w:rPr>
          <w:rFonts w:ascii="Calibri" w:eastAsiaTheme="minorEastAsia" w:hAnsi="Calibri" w:cs="Calibri"/>
          <w:lang w:eastAsia="ko-KR"/>
        </w:rPr>
      </w:pPr>
    </w:p>
    <w:p w:rsidR="00EF4410" w:rsidRPr="006917DC" w:rsidRDefault="0030382E" w:rsidP="00EF4410">
      <w:pPr>
        <w:pStyle w:val="a3"/>
        <w:numPr>
          <w:ilvl w:val="0"/>
          <w:numId w:val="2"/>
        </w:numPr>
        <w:spacing w:after="240" w:line="276" w:lineRule="auto"/>
        <w:ind w:left="426"/>
        <w:rPr>
          <w:rFonts w:ascii="Calibri" w:eastAsiaTheme="minorEastAsia" w:hAnsi="Calibri" w:cs="Calibri"/>
          <w:b/>
          <w:lang w:eastAsia="ko-KR"/>
        </w:rPr>
      </w:pPr>
      <w:r>
        <w:rPr>
          <w:rFonts w:ascii="Calibri" w:eastAsiaTheme="minorEastAsia" w:hAnsi="Calibri" w:cs="Calibri" w:hint="eastAsia"/>
          <w:b/>
          <w:lang w:eastAsia="ko-KR"/>
        </w:rPr>
        <w:t>Purposes</w:t>
      </w:r>
    </w:p>
    <w:p w:rsidR="00CC58D5" w:rsidRDefault="005B422E" w:rsidP="00BE4459">
      <w:pPr>
        <w:spacing w:after="240" w:line="276" w:lineRule="auto"/>
        <w:rPr>
          <w:rFonts w:ascii="Calibri" w:eastAsiaTheme="minorEastAsia" w:hAnsi="Calibri" w:cs="Calibri"/>
          <w:lang w:eastAsia="ko-KR"/>
        </w:rPr>
      </w:pPr>
      <w:r>
        <w:rPr>
          <w:rFonts w:ascii="Calibri" w:eastAsiaTheme="minorEastAsia" w:hAnsi="Calibri" w:cs="Calibri" w:hint="eastAsia"/>
          <w:lang w:eastAsia="ko-KR"/>
        </w:rPr>
        <w:t>As there have been many witnesses who can hardly appear at courtrooms for witness examinatio</w:t>
      </w:r>
      <w:r w:rsidR="005422F4">
        <w:rPr>
          <w:rFonts w:ascii="Calibri" w:eastAsiaTheme="minorEastAsia" w:hAnsi="Calibri" w:cs="Calibri" w:hint="eastAsia"/>
          <w:lang w:eastAsia="ko-KR"/>
        </w:rPr>
        <w:t>n due to health and occupational issues</w:t>
      </w:r>
      <w:r>
        <w:rPr>
          <w:rFonts w:ascii="Calibri" w:eastAsiaTheme="minorEastAsia" w:hAnsi="Calibri" w:cs="Calibri" w:hint="eastAsia"/>
          <w:lang w:eastAsia="ko-KR"/>
        </w:rPr>
        <w:t xml:space="preserve">, </w:t>
      </w:r>
      <w:r w:rsidR="005422F4">
        <w:rPr>
          <w:rFonts w:ascii="Calibri" w:eastAsiaTheme="minorEastAsia" w:hAnsi="Calibri" w:cs="Calibri" w:hint="eastAsia"/>
          <w:lang w:eastAsia="ko-KR"/>
        </w:rPr>
        <w:t xml:space="preserve">trial courts were faced with difficulties in summoning witnesses for examinations, causing delays in setting </w:t>
      </w:r>
      <w:r>
        <w:rPr>
          <w:rFonts w:ascii="Calibri" w:eastAsiaTheme="minorEastAsia" w:hAnsi="Calibri" w:cs="Calibri" w:hint="eastAsia"/>
          <w:lang w:eastAsia="ko-KR"/>
        </w:rPr>
        <w:t xml:space="preserve">hearing dates for many witness examinations. </w:t>
      </w:r>
      <w:r w:rsidR="00A907A7">
        <w:rPr>
          <w:rFonts w:ascii="Calibri" w:eastAsiaTheme="minorEastAsia" w:hAnsi="Calibri" w:cs="Calibri" w:hint="eastAsia"/>
          <w:lang w:eastAsia="ko-KR"/>
        </w:rPr>
        <w:t xml:space="preserve"> </w:t>
      </w:r>
      <w:r>
        <w:rPr>
          <w:rFonts w:ascii="Calibri" w:eastAsiaTheme="minorEastAsia" w:hAnsi="Calibri" w:cs="Calibri" w:hint="eastAsia"/>
          <w:lang w:eastAsia="ko-KR"/>
        </w:rPr>
        <w:t>There also w</w:t>
      </w:r>
      <w:r w:rsidR="00A907A7">
        <w:rPr>
          <w:rFonts w:ascii="Calibri" w:eastAsiaTheme="minorEastAsia" w:hAnsi="Calibri" w:cs="Calibri" w:hint="eastAsia"/>
          <w:lang w:eastAsia="ko-KR"/>
        </w:rPr>
        <w:t>ere</w:t>
      </w:r>
      <w:r>
        <w:rPr>
          <w:rFonts w:ascii="Calibri" w:eastAsiaTheme="minorEastAsia" w:hAnsi="Calibri" w:cs="Calibri" w:hint="eastAsia"/>
          <w:lang w:eastAsia="ko-KR"/>
        </w:rPr>
        <w:t xml:space="preserve"> no legal background</w:t>
      </w:r>
      <w:r w:rsidR="00A907A7">
        <w:rPr>
          <w:rFonts w:ascii="Calibri" w:eastAsiaTheme="minorEastAsia" w:hAnsi="Calibri" w:cs="Calibri" w:hint="eastAsia"/>
          <w:lang w:eastAsia="ko-KR"/>
        </w:rPr>
        <w:t>s</w:t>
      </w:r>
      <w:r>
        <w:rPr>
          <w:rFonts w:ascii="Calibri" w:eastAsiaTheme="minorEastAsia" w:hAnsi="Calibri" w:cs="Calibri" w:hint="eastAsia"/>
          <w:lang w:eastAsia="ko-KR"/>
        </w:rPr>
        <w:t xml:space="preserve"> to individually examine </w:t>
      </w:r>
      <w:r w:rsidR="00D22A38">
        <w:rPr>
          <w:rFonts w:ascii="Calibri" w:eastAsiaTheme="minorEastAsia" w:hAnsi="Calibri" w:cs="Calibri" w:hint="eastAsia"/>
          <w:lang w:eastAsia="ko-KR"/>
        </w:rPr>
        <w:t xml:space="preserve">civil case </w:t>
      </w:r>
      <w:r>
        <w:rPr>
          <w:rFonts w:ascii="Calibri" w:eastAsiaTheme="minorEastAsia" w:hAnsi="Calibri" w:cs="Calibri" w:hint="eastAsia"/>
          <w:lang w:eastAsia="ko-KR"/>
        </w:rPr>
        <w:t xml:space="preserve">witnesses in separation from the </w:t>
      </w:r>
      <w:r w:rsidR="00D22A38">
        <w:rPr>
          <w:rFonts w:ascii="Calibri" w:eastAsiaTheme="minorEastAsia" w:hAnsi="Calibri" w:cs="Calibri" w:hint="eastAsia"/>
          <w:lang w:eastAsia="ko-KR"/>
        </w:rPr>
        <w:t xml:space="preserve">litigation </w:t>
      </w:r>
      <w:r>
        <w:rPr>
          <w:rFonts w:ascii="Calibri" w:eastAsiaTheme="minorEastAsia" w:hAnsi="Calibri" w:cs="Calibri" w:hint="eastAsia"/>
          <w:lang w:eastAsia="ko-KR"/>
        </w:rPr>
        <w:t xml:space="preserve">parties unlike </w:t>
      </w:r>
      <w:r w:rsidR="00D22A38">
        <w:rPr>
          <w:rFonts w:ascii="Calibri" w:eastAsiaTheme="minorEastAsia" w:hAnsi="Calibri" w:cs="Calibri" w:hint="eastAsia"/>
          <w:lang w:eastAsia="ko-KR"/>
        </w:rPr>
        <w:t>criminal case defendants.</w:t>
      </w:r>
      <w:r w:rsidR="00716A58">
        <w:rPr>
          <w:rFonts w:ascii="Calibri" w:eastAsiaTheme="minorEastAsia" w:hAnsi="Calibri" w:cs="Calibri" w:hint="eastAsia"/>
          <w:lang w:eastAsia="ko-KR"/>
        </w:rPr>
        <w:t xml:space="preserve">  Thus, the Civil Procedure Act was revised and came into effect on September 30, 2016 to provide legal grounds and procedures to hold remote videoconference hearings for witnesses and assessors</w:t>
      </w:r>
      <w:r w:rsidR="00CC58D5">
        <w:rPr>
          <w:rFonts w:ascii="Calibri" w:eastAsiaTheme="minorEastAsia" w:hAnsi="Calibri" w:cs="Calibri" w:hint="eastAsia"/>
          <w:lang w:eastAsia="ko-KR"/>
        </w:rPr>
        <w:t>.</w:t>
      </w:r>
    </w:p>
    <w:p w:rsidR="00716A58" w:rsidRDefault="00716A58" w:rsidP="00BE4459">
      <w:pPr>
        <w:spacing w:after="240" w:line="276" w:lineRule="auto"/>
        <w:rPr>
          <w:rFonts w:ascii="Calibri" w:eastAsiaTheme="minorEastAsia" w:hAnsi="Calibri" w:cs="Calibri"/>
          <w:lang w:eastAsia="ko-KR"/>
        </w:rPr>
      </w:pPr>
    </w:p>
    <w:p w:rsidR="00CC58D5" w:rsidRPr="006917DC" w:rsidRDefault="0030382E" w:rsidP="00CC58D5">
      <w:pPr>
        <w:pStyle w:val="a3"/>
        <w:numPr>
          <w:ilvl w:val="0"/>
          <w:numId w:val="2"/>
        </w:numPr>
        <w:spacing w:after="240" w:line="276" w:lineRule="auto"/>
        <w:ind w:left="426"/>
        <w:rPr>
          <w:rFonts w:ascii="Calibri" w:eastAsiaTheme="minorEastAsia" w:hAnsi="Calibri" w:cs="Calibri"/>
          <w:b/>
          <w:lang w:eastAsia="ko-KR"/>
        </w:rPr>
      </w:pPr>
      <w:r>
        <w:rPr>
          <w:rFonts w:ascii="Calibri" w:eastAsiaTheme="minorEastAsia" w:hAnsi="Calibri" w:cs="Calibri" w:hint="eastAsia"/>
          <w:b/>
          <w:lang w:eastAsia="ko-KR"/>
        </w:rPr>
        <w:t>Expected Outcome</w:t>
      </w:r>
    </w:p>
    <w:p w:rsidR="0030382E" w:rsidRDefault="006917DC" w:rsidP="0030382E">
      <w:pPr>
        <w:spacing w:after="240" w:line="276" w:lineRule="auto"/>
        <w:rPr>
          <w:rFonts w:ascii="Calibri" w:eastAsiaTheme="minorEastAsia" w:hAnsi="Calibri" w:cs="Calibri"/>
          <w:lang w:eastAsia="ko-KR"/>
        </w:rPr>
      </w:pPr>
      <w:r>
        <w:rPr>
          <w:rFonts w:ascii="Calibri" w:eastAsiaTheme="minorEastAsia" w:hAnsi="Calibri" w:cs="Calibri" w:hint="eastAsia"/>
          <w:lang w:eastAsia="ko-KR"/>
        </w:rPr>
        <w:t>The</w:t>
      </w:r>
      <w:r w:rsidR="00716A58">
        <w:rPr>
          <w:rFonts w:ascii="Calibri" w:eastAsiaTheme="minorEastAsia" w:hAnsi="Calibri" w:cs="Calibri" w:hint="eastAsia"/>
          <w:lang w:eastAsia="ko-KR"/>
        </w:rPr>
        <w:t xml:space="preserve"> remote videoconference hearing system is expected to effectively produce the following outcomes:</w:t>
      </w:r>
    </w:p>
    <w:p w:rsidR="00716A58" w:rsidRDefault="00716A58" w:rsidP="00D42059">
      <w:pPr>
        <w:pStyle w:val="a3"/>
        <w:numPr>
          <w:ilvl w:val="0"/>
          <w:numId w:val="3"/>
        </w:numPr>
        <w:spacing w:after="240" w:line="276" w:lineRule="auto"/>
        <w:contextualSpacing w:val="0"/>
        <w:rPr>
          <w:rFonts w:ascii="Calibri" w:eastAsiaTheme="minorEastAsia" w:hAnsi="Calibri" w:cs="Calibri"/>
          <w:lang w:eastAsia="ko-KR"/>
        </w:rPr>
      </w:pPr>
      <w:r>
        <w:rPr>
          <w:rFonts w:ascii="Calibri" w:eastAsiaTheme="minorEastAsia" w:hAnsi="Calibri" w:cs="Calibri" w:hint="eastAsia"/>
          <w:lang w:eastAsia="ko-KR"/>
        </w:rPr>
        <w:t xml:space="preserve">Contribute to having comprehensive fact-finding proceedings </w:t>
      </w:r>
      <w:r w:rsidR="00A907A7">
        <w:rPr>
          <w:rFonts w:ascii="Calibri" w:eastAsiaTheme="minorEastAsia" w:hAnsi="Calibri" w:cs="Calibri" w:hint="eastAsia"/>
          <w:lang w:eastAsia="ko-KR"/>
        </w:rPr>
        <w:t>through</w:t>
      </w:r>
      <w:r>
        <w:rPr>
          <w:rFonts w:ascii="Calibri" w:eastAsiaTheme="minorEastAsia" w:hAnsi="Calibri" w:cs="Calibri" w:hint="eastAsia"/>
          <w:lang w:eastAsia="ko-KR"/>
        </w:rPr>
        <w:t xml:space="preserve"> effective and thorough evidence examinations </w:t>
      </w:r>
      <w:r w:rsidR="00A907A7">
        <w:rPr>
          <w:rFonts w:ascii="Calibri" w:eastAsiaTheme="minorEastAsia" w:hAnsi="Calibri" w:cs="Calibri" w:hint="eastAsia"/>
          <w:lang w:eastAsia="ko-KR"/>
        </w:rPr>
        <w:t>by</w:t>
      </w:r>
      <w:r>
        <w:rPr>
          <w:rFonts w:ascii="Calibri" w:eastAsiaTheme="minorEastAsia" w:hAnsi="Calibri" w:cs="Calibri" w:hint="eastAsia"/>
          <w:lang w:eastAsia="ko-KR"/>
        </w:rPr>
        <w:t xml:space="preserve"> preventing delays</w:t>
      </w:r>
      <w:r w:rsidR="00A907A7">
        <w:rPr>
          <w:rFonts w:ascii="Calibri" w:eastAsiaTheme="minorEastAsia" w:hAnsi="Calibri" w:cs="Calibri" w:hint="eastAsia"/>
          <w:lang w:eastAsia="ko-KR"/>
        </w:rPr>
        <w:t xml:space="preserve"> or postponements</w:t>
      </w:r>
      <w:r>
        <w:rPr>
          <w:rFonts w:ascii="Calibri" w:eastAsiaTheme="minorEastAsia" w:hAnsi="Calibri" w:cs="Calibri" w:hint="eastAsia"/>
          <w:lang w:eastAsia="ko-KR"/>
        </w:rPr>
        <w:t xml:space="preserve"> in setting trial dates;</w:t>
      </w:r>
    </w:p>
    <w:p w:rsidR="00716A58" w:rsidRPr="00716A58" w:rsidRDefault="00716A58" w:rsidP="00D42059">
      <w:pPr>
        <w:pStyle w:val="a3"/>
        <w:numPr>
          <w:ilvl w:val="0"/>
          <w:numId w:val="3"/>
        </w:numPr>
        <w:spacing w:after="240" w:line="276" w:lineRule="auto"/>
        <w:contextualSpacing w:val="0"/>
        <w:rPr>
          <w:rFonts w:ascii="Calibri" w:eastAsiaTheme="minorEastAsia" w:hAnsi="Calibri" w:cs="Calibri"/>
          <w:lang w:eastAsia="ko-KR"/>
        </w:rPr>
      </w:pPr>
      <w:r>
        <w:rPr>
          <w:rFonts w:ascii="Calibri" w:eastAsiaTheme="minorEastAsia" w:hAnsi="Calibri" w:cs="Calibri" w:hint="eastAsia"/>
          <w:lang w:eastAsia="ko-KR"/>
        </w:rPr>
        <w:t xml:space="preserve">Provide appropriate support measures for witnesses who face difficulties to appear in courtrooms or need to </w:t>
      </w:r>
      <w:r w:rsidR="00D42059">
        <w:rPr>
          <w:rFonts w:ascii="Calibri" w:eastAsiaTheme="minorEastAsia" w:hAnsi="Calibri" w:cs="Calibri" w:hint="eastAsia"/>
          <w:lang w:eastAsia="ko-KR"/>
        </w:rPr>
        <w:t>be examined in separation from the parties, and reduce socioeconomic cost on witness</w:t>
      </w:r>
      <w:r w:rsidR="00D42059">
        <w:rPr>
          <w:rFonts w:ascii="Calibri" w:eastAsiaTheme="minorEastAsia" w:hAnsi="Calibri" w:cs="Calibri"/>
          <w:lang w:eastAsia="ko-KR"/>
        </w:rPr>
        <w:t>’</w:t>
      </w:r>
      <w:r w:rsidR="00D42059">
        <w:rPr>
          <w:rFonts w:ascii="Calibri" w:eastAsiaTheme="minorEastAsia" w:hAnsi="Calibri" w:cs="Calibri" w:hint="eastAsia"/>
          <w:lang w:eastAsia="ko-KR"/>
        </w:rPr>
        <w:t>s long distance trip to the courthouse; and</w:t>
      </w:r>
    </w:p>
    <w:p w:rsidR="007B2323" w:rsidRPr="00A907A7" w:rsidRDefault="00D42059" w:rsidP="00D42059">
      <w:pPr>
        <w:pStyle w:val="a3"/>
        <w:numPr>
          <w:ilvl w:val="0"/>
          <w:numId w:val="3"/>
        </w:numPr>
        <w:spacing w:after="240" w:line="276" w:lineRule="auto"/>
        <w:contextualSpacing w:val="0"/>
        <w:rPr>
          <w:rFonts w:ascii="Calibri" w:eastAsiaTheme="minorEastAsia" w:hAnsi="Calibri" w:cs="Calibri"/>
          <w:lang w:eastAsia="ko-KR"/>
        </w:rPr>
      </w:pPr>
      <w:r w:rsidRPr="00A907A7">
        <w:rPr>
          <w:rFonts w:ascii="Calibri" w:eastAsiaTheme="minorEastAsia" w:hAnsi="Calibri" w:cs="Calibri" w:hint="eastAsia"/>
          <w:lang w:eastAsia="ko-KR"/>
        </w:rPr>
        <w:t>Reflect the opinions from dominant experts residing in foreign countries, based on effective judicial cooperation between the Korean and foreign judiciaries.</w:t>
      </w:r>
    </w:p>
    <w:sectPr w:rsidR="007B2323" w:rsidRPr="00A907A7" w:rsidSect="007852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32" w:rsidRDefault="00500832" w:rsidP="00EA3BED">
      <w:r>
        <w:separator/>
      </w:r>
    </w:p>
  </w:endnote>
  <w:endnote w:type="continuationSeparator" w:id="0">
    <w:p w:rsidR="00500832" w:rsidRDefault="00500832" w:rsidP="00EA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32" w:rsidRDefault="00500832" w:rsidP="00EA3BED">
      <w:r>
        <w:separator/>
      </w:r>
    </w:p>
  </w:footnote>
  <w:footnote w:type="continuationSeparator" w:id="0">
    <w:p w:rsidR="00500832" w:rsidRDefault="00500832" w:rsidP="00EA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14F"/>
    <w:multiLevelType w:val="hybridMultilevel"/>
    <w:tmpl w:val="D69C9A8A"/>
    <w:lvl w:ilvl="0" w:tplc="00B6BE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EC8763E"/>
    <w:multiLevelType w:val="hybridMultilevel"/>
    <w:tmpl w:val="E93C2C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5891142"/>
    <w:multiLevelType w:val="hybridMultilevel"/>
    <w:tmpl w:val="8CF6638C"/>
    <w:lvl w:ilvl="0" w:tplc="7F0A2DF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5B"/>
    <w:rsid w:val="000D505B"/>
    <w:rsid w:val="000E61E4"/>
    <w:rsid w:val="000E7C9A"/>
    <w:rsid w:val="001373D0"/>
    <w:rsid w:val="0015141C"/>
    <w:rsid w:val="0015312F"/>
    <w:rsid w:val="0016329E"/>
    <w:rsid w:val="001723ED"/>
    <w:rsid w:val="00191E0E"/>
    <w:rsid w:val="0019413B"/>
    <w:rsid w:val="00196E49"/>
    <w:rsid w:val="00216168"/>
    <w:rsid w:val="002616F1"/>
    <w:rsid w:val="00293901"/>
    <w:rsid w:val="002D4710"/>
    <w:rsid w:val="0030382E"/>
    <w:rsid w:val="00306D15"/>
    <w:rsid w:val="003758FF"/>
    <w:rsid w:val="003A08C5"/>
    <w:rsid w:val="003F28AB"/>
    <w:rsid w:val="00460DF2"/>
    <w:rsid w:val="004850F2"/>
    <w:rsid w:val="004D3036"/>
    <w:rsid w:val="00500832"/>
    <w:rsid w:val="005422F4"/>
    <w:rsid w:val="005B422E"/>
    <w:rsid w:val="005E09C0"/>
    <w:rsid w:val="006917DC"/>
    <w:rsid w:val="006C288E"/>
    <w:rsid w:val="00705EAF"/>
    <w:rsid w:val="00716A58"/>
    <w:rsid w:val="00744D01"/>
    <w:rsid w:val="0078521D"/>
    <w:rsid w:val="007B2323"/>
    <w:rsid w:val="007C7E0B"/>
    <w:rsid w:val="00893BA0"/>
    <w:rsid w:val="008D4415"/>
    <w:rsid w:val="008E4636"/>
    <w:rsid w:val="00930033"/>
    <w:rsid w:val="009331C0"/>
    <w:rsid w:val="009521A1"/>
    <w:rsid w:val="0096553C"/>
    <w:rsid w:val="00966E63"/>
    <w:rsid w:val="00A0135B"/>
    <w:rsid w:val="00A11280"/>
    <w:rsid w:val="00A24B41"/>
    <w:rsid w:val="00A67B39"/>
    <w:rsid w:val="00A809D8"/>
    <w:rsid w:val="00A907A7"/>
    <w:rsid w:val="00AF5E39"/>
    <w:rsid w:val="00B05A84"/>
    <w:rsid w:val="00B902E5"/>
    <w:rsid w:val="00BE4459"/>
    <w:rsid w:val="00C17014"/>
    <w:rsid w:val="00CA08AC"/>
    <w:rsid w:val="00CA7668"/>
    <w:rsid w:val="00CC58D5"/>
    <w:rsid w:val="00D00F85"/>
    <w:rsid w:val="00D22A38"/>
    <w:rsid w:val="00D27687"/>
    <w:rsid w:val="00D42059"/>
    <w:rsid w:val="00DA4E1F"/>
    <w:rsid w:val="00DB4048"/>
    <w:rsid w:val="00E502E1"/>
    <w:rsid w:val="00EA1D5E"/>
    <w:rsid w:val="00EA3BED"/>
    <w:rsid w:val="00EF3138"/>
    <w:rsid w:val="00EF4410"/>
    <w:rsid w:val="00F24D3A"/>
    <w:rsid w:val="00F348B2"/>
    <w:rsid w:val="00F8047F"/>
    <w:rsid w:val="00F9648B"/>
    <w:rsid w:val="00FE11D5"/>
    <w:rsid w:val="00F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A0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A0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Char"/>
    <w:uiPriority w:val="99"/>
    <w:semiHidden/>
    <w:unhideWhenUsed/>
    <w:rsid w:val="00EA3B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A3BED"/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semiHidden/>
    <w:unhideWhenUsed/>
    <w:rsid w:val="00EA3B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A3BED"/>
    <w:rPr>
      <w:rFonts w:ascii="Times New Roman" w:eastAsia="SimSun" w:hAnsi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A1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2016-10-05T06:55:00Z</cp:lastPrinted>
  <dcterms:created xsi:type="dcterms:W3CDTF">2016-12-07T08:00:00Z</dcterms:created>
  <dcterms:modified xsi:type="dcterms:W3CDTF">2016-12-07T08:00:00Z</dcterms:modified>
</cp:coreProperties>
</file>